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B6" w:rsidRPr="000F0FAD" w:rsidRDefault="00AD34B6" w:rsidP="00AD34B6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0"/>
      <w:r w:rsidRPr="000F0FAD">
        <w:rPr>
          <w:rFonts w:ascii="標楷體" w:hAnsi="標楷體" w:hint="eastAsia"/>
          <w:color w:val="auto"/>
          <w:sz w:val="32"/>
          <w:szCs w:val="32"/>
        </w:rPr>
        <w:t>C07各年級歷年教科書版本一覽表</w:t>
      </w:r>
      <w:bookmarkEnd w:id="0"/>
    </w:p>
    <w:p w:rsidR="00F75FBC" w:rsidRDefault="00F75FBC" w:rsidP="00F75FBC">
      <w:pPr>
        <w:snapToGrid w:val="0"/>
        <w:spacing w:line="500" w:lineRule="exact"/>
        <w:ind w:leftChars="-59" w:left="18" w:hangingChars="50" w:hanging="160"/>
        <w:jc w:val="center"/>
        <w:rPr>
          <w:rFonts w:ascii="標楷體" w:eastAsia="標楷體" w:hAnsi="標楷體"/>
          <w:b/>
          <w:color w:val="000000"/>
          <w:sz w:val="28"/>
          <w:szCs w:val="28"/>
          <w:lang w:val="x-none"/>
        </w:rPr>
      </w:pPr>
      <w:proofErr w:type="gramStart"/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南市私立</w:t>
      </w:r>
      <w:r>
        <w:rPr>
          <w:rFonts w:ascii="標楷體" w:eastAsia="標楷體" w:hAnsi="標楷體" w:hint="eastAsia"/>
          <w:b/>
          <w:sz w:val="32"/>
          <w:szCs w:val="32"/>
        </w:rPr>
        <w:t>崑山</w:t>
      </w: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高中附設國中部</w:t>
      </w:r>
      <w:r>
        <w:rPr>
          <w:rFonts w:ascii="標楷體" w:eastAsia="標楷體" w:hAnsi="標楷體" w:hint="eastAsia"/>
          <w:b/>
          <w:bCs/>
          <w:color w:val="000000"/>
          <w:spacing w:val="20"/>
          <w:kern w:val="0"/>
          <w:sz w:val="28"/>
          <w:szCs w:val="28"/>
        </w:rPr>
        <w:t>教科書選用或自編一覽表</w:t>
      </w:r>
    </w:p>
    <w:p w:rsidR="00F75FBC" w:rsidRPr="00F75FBC" w:rsidRDefault="00F75FBC" w:rsidP="00F75FBC">
      <w:pPr>
        <w:spacing w:line="0" w:lineRule="atLeast"/>
        <w:ind w:left="320" w:hangingChars="100" w:hanging="320"/>
        <w:jc w:val="center"/>
        <w:rPr>
          <w:rFonts w:ascii="標楷體" w:eastAsia="標楷體" w:hAnsi="標楷體" w:hint="eastAsia"/>
          <w:b/>
          <w:bCs/>
          <w:spacing w:val="20"/>
          <w:kern w:val="0"/>
          <w:sz w:val="28"/>
          <w:szCs w:val="28"/>
        </w:rPr>
      </w:pPr>
      <w:r w:rsidRPr="00F75FBC">
        <w:rPr>
          <w:rFonts w:ascii="標楷體" w:eastAsia="標楷體" w:hAnsi="標楷體" w:hint="eastAsia"/>
          <w:b/>
          <w:bCs/>
          <w:spacing w:val="20"/>
          <w:kern w:val="0"/>
          <w:sz w:val="28"/>
          <w:szCs w:val="28"/>
        </w:rPr>
        <w:t>10</w:t>
      </w:r>
      <w:r w:rsidRPr="00F75FBC">
        <w:rPr>
          <w:rFonts w:ascii="標楷體" w:eastAsia="標楷體" w:hAnsi="標楷體"/>
          <w:b/>
          <w:bCs/>
          <w:spacing w:val="20"/>
          <w:kern w:val="0"/>
          <w:sz w:val="28"/>
          <w:szCs w:val="28"/>
        </w:rPr>
        <w:t>7</w:t>
      </w:r>
      <w:r w:rsidRPr="00F75FBC">
        <w:rPr>
          <w:rFonts w:ascii="標楷體" w:eastAsia="標楷體" w:hAnsi="標楷體" w:hint="eastAsia"/>
          <w:b/>
          <w:bCs/>
          <w:spacing w:val="20"/>
          <w:kern w:val="0"/>
          <w:sz w:val="28"/>
          <w:szCs w:val="28"/>
        </w:rPr>
        <w:t>學年度</w:t>
      </w:r>
      <w:r w:rsidRPr="00F75F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審定本教科書</w:t>
      </w:r>
      <w:r w:rsidRPr="00F75FBC">
        <w:rPr>
          <w:rFonts w:ascii="標楷體" w:eastAsia="標楷體" w:hAnsi="標楷體" w:hint="eastAsia"/>
          <w:b/>
          <w:bCs/>
          <w:spacing w:val="20"/>
          <w:kern w:val="0"/>
          <w:sz w:val="28"/>
          <w:szCs w:val="28"/>
        </w:rPr>
        <w:t>版本</w:t>
      </w:r>
    </w:p>
    <w:p w:rsidR="00F75FBC" w:rsidRDefault="00F75FBC" w:rsidP="00F75FBC">
      <w:pPr>
        <w:widowControl/>
        <w:snapToGrid w:val="0"/>
        <w:spacing w:after="180"/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843"/>
        <w:gridCol w:w="1275"/>
        <w:gridCol w:w="1134"/>
        <w:gridCol w:w="1134"/>
        <w:gridCol w:w="1134"/>
        <w:gridCol w:w="1081"/>
      </w:tblGrid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領域/科目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ㄧ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二年級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年級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7</w:t>
            </w:r>
            <w:bookmarkStart w:id="1" w:name="_GoBack"/>
            <w:bookmarkEnd w:id="1"/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rFonts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tabs>
                <w:tab w:val="left" w:pos="1200"/>
              </w:tabs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英語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自然與科技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spacing w:val="-20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F75FBC" w:rsidTr="00F75F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rPr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碁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碁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碁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碁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碁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BC" w:rsidRDefault="00F75FBC">
            <w:pPr>
              <w:widowControl/>
              <w:snapToGrid w:val="0"/>
              <w:spacing w:before="120" w:after="120"/>
              <w:jc w:val="center"/>
              <w:rPr>
                <w:kern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碁</w:t>
            </w:r>
            <w:proofErr w:type="gramEnd"/>
            <w:r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峰</w:t>
            </w:r>
          </w:p>
        </w:tc>
      </w:tr>
    </w:tbl>
    <w:p w:rsidR="00F75FBC" w:rsidRDefault="00F75FBC" w:rsidP="00F75FBC">
      <w:pPr>
        <w:widowControl/>
        <w:snapToGrid w:val="0"/>
        <w:spacing w:after="180"/>
      </w:pPr>
    </w:p>
    <w:p w:rsidR="003641DF" w:rsidRDefault="00F75FBC" w:rsidP="00F75FBC">
      <w:pPr>
        <w:snapToGrid w:val="0"/>
        <w:spacing w:line="500" w:lineRule="exact"/>
        <w:ind w:leftChars="-59" w:left="-22" w:hangingChars="50" w:hanging="120"/>
        <w:jc w:val="center"/>
      </w:pPr>
    </w:p>
    <w:sectPr w:rsidR="003641DF" w:rsidSect="00AD34B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B6"/>
    <w:rsid w:val="003503C5"/>
    <w:rsid w:val="00453778"/>
    <w:rsid w:val="006129D6"/>
    <w:rsid w:val="00AD34B6"/>
    <w:rsid w:val="00F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74C2"/>
  <w14:defaultImageDpi w14:val="32767"/>
  <w15:chartTrackingRefBased/>
  <w15:docId w15:val="{77E9A900-B44B-0643-BC9B-F70A53B6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D34B6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AD34B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D34B6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-PC ERIC</cp:lastModifiedBy>
  <cp:revision>3</cp:revision>
  <dcterms:created xsi:type="dcterms:W3CDTF">2018-05-30T06:34:00Z</dcterms:created>
  <dcterms:modified xsi:type="dcterms:W3CDTF">2018-07-05T10:56:00Z</dcterms:modified>
</cp:coreProperties>
</file>